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RELAZIONE FINALE DELL’INSEGNANTE DI SOSTEGNO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03"/>
        <w:gridCol w:w="7624"/>
      </w:tblGrid>
      <w:tr>
        <w:trPr>
          <w:cantSplit/>
          <w:trHeight w:val="351" w:hRule="atLeast"/>
        </w:trPr>
        <w:tc>
          <w:tcPr>
            <w:tcW w:type="dxa" w:w="140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ALUNNO/A:</w:t>
            </w:r>
          </w:p>
        </w:tc>
        <w:tc>
          <w:tcPr>
            <w:tcW w:type="dxa" w:w="762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7087"/>
      </w:tblGrid>
      <w:tr>
        <w:trPr>
          <w:cantSplit/>
          <w:trHeight w:val="351" w:hRule="atLeast"/>
        </w:trPr>
        <w:tc>
          <w:tcPr>
            <w:tcW w:type="dxa" w:w="192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o sezione</w:t>
            </w:r>
          </w:p>
        </w:tc>
        <w:tc>
          <w:tcPr>
            <w:tcW w:type="dxa" w:w="708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20"/>
        <w:gridCol w:w="6807"/>
      </w:tblGrid>
      <w:tr>
        <w:trPr>
          <w:cantSplit/>
          <w:trHeight w:val="351" w:hRule="atLeast"/>
        </w:trPr>
        <w:tc>
          <w:tcPr>
            <w:tcW w:type="dxa" w:w="222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Docente di sostegno:</w:t>
            </w:r>
          </w:p>
        </w:tc>
        <w:tc>
          <w:tcPr>
            <w:tcW w:type="dxa" w:w="680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Risorse umane a sostegno del processo di integrazione, in aggiunta ai docenti disciplinari assegnati alla classe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Docente specializzato per il sostegno, n. ore settimanali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77"/>
        <w:gridCol w:w="4450"/>
      </w:tblGrid>
      <w:tr>
        <w:trPr>
          <w:cantSplit/>
          <w:trHeight w:val="351" w:hRule="atLeast"/>
        </w:trPr>
        <w:tc>
          <w:tcPr>
            <w:tcW w:type="dxa" w:w="4577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Assistenza specialistica, n. ore settimanali</w:t>
            </w:r>
          </w:p>
        </w:tc>
        <w:tc>
          <w:tcPr>
            <w:tcW w:type="dxa" w:w="445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L’alunno/a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ha seguito / non ha seguito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programmazione di classe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ha seguito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programmazione di classe con particolari adattamenti e semplificazioni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ha seguito in parte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programmazione di classe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ha seguito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una </w:t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programmazione individualizzata in tutte le aree disciplinari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ha seguito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una </w:t>
      </w:r>
      <w:r>
        <w:rPr>
          <w:rFonts w:ascii="Titillium Web" w:hAnsi="Titillium Web" w:cs="Titillium Web"/>
          <w:b/>
          <w:i w:val="0"/>
          <w:color w:val="1B1B2B"/>
          <w:sz w:val="22"/>
        </w:rPr>
        <w:t>programmazione individualizzata in alcune aree disciplinari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  <w:trHeight w:val="351" w:hRule="atLeast"/>
        </w:trPr>
        <w:tc>
          <w:tcPr>
            <w:tcW w:type="dxa" w:w="902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03"/>
        <w:gridCol w:w="2012"/>
        <w:gridCol w:w="2012"/>
      </w:tblGrid>
      <w:tr>
        <w:trPr>
          <w:cantSplit/>
        </w:trPr>
        <w:tc>
          <w:tcPr>
            <w:tcW w:type="dxa" w:w="5003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programmazione prevista dal PEI è stata svolta:</w:t>
            </w:r>
          </w:p>
        </w:tc>
        <w:tc>
          <w:tcPr>
            <w:tcW w:type="dxa" w:w="2012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totalmente</w:t>
            </w:r>
          </w:p>
        </w:tc>
        <w:tc>
          <w:tcPr>
            <w:tcW w:type="dxa" w:w="2012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 parte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programma non è stato completamente svolto per: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mancanza di tempo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scelte didattiche particolari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aspettative non corrispondenti al reale livello dell’alunno/alunna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91"/>
        <w:gridCol w:w="6736"/>
      </w:tblGrid>
      <w:tr>
        <w:trPr>
          <w:cantSplit/>
          <w:trHeight w:val="351" w:hRule="atLeast"/>
        </w:trPr>
        <w:tc>
          <w:tcPr>
            <w:tcW w:type="dxa" w:w="229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altro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22"/>
              </w:rPr>
              <w:t>specificare)</w:t>
            </w:r>
          </w:p>
        </w:tc>
        <w:tc>
          <w:tcPr>
            <w:tcW w:type="dxa" w:w="673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Si è reso necessario apportare alcune modifiche al PEI iniziale?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NO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SI (</w:t>
      </w:r>
      <w:r>
        <w:rPr>
          <w:rFonts w:ascii="Titillium Web" w:hAnsi="Titillium Web" w:cs="Titillium Web"/>
          <w:b w:val="0"/>
          <w:i/>
          <w:color w:val="1B1B2B"/>
          <w:sz w:val="22"/>
        </w:rPr>
        <w:t>specificare i cambiamenti apportati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) 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Fattori che hanno rallentato l’attività didattica e l’apprendimento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: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assenze dell’alunno/a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cambiamento dei docenti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scarsa autostima/paura dell’insuccesso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91"/>
        <w:gridCol w:w="6736"/>
      </w:tblGrid>
      <w:tr>
        <w:trPr>
          <w:cantSplit/>
          <w:trHeight w:val="351" w:hRule="atLeast"/>
        </w:trPr>
        <w:tc>
          <w:tcPr>
            <w:tcW w:type="dxa" w:w="229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altro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22"/>
              </w:rPr>
              <w:t>specificare)</w:t>
            </w:r>
          </w:p>
        </w:tc>
        <w:tc>
          <w:tcPr>
            <w:tcW w:type="dxa" w:w="673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Fattori che hanno facilitato l’attività didattica e l’apprendimento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: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motivazione dell’alunno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coinvolgimento dell’alunno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uso di sussidi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esperienze laboratoriali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clima di classe positivo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collaborazione tra docenti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91"/>
        <w:gridCol w:w="6736"/>
      </w:tblGrid>
      <w:tr>
        <w:trPr>
          <w:cantSplit/>
          <w:trHeight w:val="351" w:hRule="atLeast"/>
        </w:trPr>
        <w:tc>
          <w:tcPr>
            <w:tcW w:type="dxa" w:w="229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altro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22"/>
              </w:rPr>
              <w:t>specificare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)</w:t>
            </w:r>
          </w:p>
        </w:tc>
        <w:tc>
          <w:tcPr>
            <w:tcW w:type="dxa" w:w="673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Intervento individualizzato all’esterno della classe: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rPr>
          <w:cantSplit/>
        </w:trPr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molte volte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diverse volte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alcune volte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mai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90"/>
        <w:gridCol w:w="1834"/>
        <w:gridCol w:w="1834"/>
        <w:gridCol w:w="1834"/>
        <w:gridCol w:w="1834"/>
      </w:tblGrid>
      <w:tr>
        <w:trPr>
          <w:cantSplit/>
        </w:trPr>
        <w:tc>
          <w:tcPr>
            <w:tcW w:type="dxa" w:w="1690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spazi utilizzati:</w:t>
            </w:r>
          </w:p>
        </w:tc>
        <w:tc>
          <w:tcPr>
            <w:tcW w:type="dxa" w:w="183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aula</w:t>
            </w:r>
          </w:p>
        </w:tc>
        <w:tc>
          <w:tcPr>
            <w:tcW w:type="dxa" w:w="183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palestra</w:t>
            </w:r>
          </w:p>
        </w:tc>
        <w:tc>
          <w:tcPr>
            <w:tcW w:type="dxa" w:w="183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laboratorio</w:t>
            </w:r>
          </w:p>
        </w:tc>
        <w:tc>
          <w:tcPr>
            <w:tcW w:type="dxa" w:w="183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altro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Ha partecipato alle seguenti visite, uscite, viaggi d’istruzione: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Partecipazione: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efficace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sufficiente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inadeguata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Interesse: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efficace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sufficiente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inadeguato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Impegno e puntualità: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costante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sufficiente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discontinuo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Le finalità educative generali del PEI: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state raggiunte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state sostanzialmente raggiunte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state parzialmente raggiunte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non sono state raggiunte 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Le competenze e gli obiettivi di apprendimento disciplinari stabiliti nel PEI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stati raggiunti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stati sostanzialmente raggiunti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sono stati parzialmente raggiunti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non sono stati raggiunti 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DESCRIZIONE SINTETICA PER ASSI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Area psico-motoria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Area socio-affettiva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Area cognitiva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Area comunicativa-linguistica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Area dell’autonomia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Metodi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Sono stati usati i seguenti metodi: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Schemi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Sintesi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Riassunti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Uso PC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Lavoro individualizzato in classe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Lavoro di gruppo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Verifiche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Le verifiche si sono articolate in: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osservazione costante delle variazioni dei comportamenti quotidiani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prove scritte e orali uguali a quelle dei compagni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prove scritte e orali semplificate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prove scritte e orali differenziate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60"/>
        <w:gridCol w:w="7867"/>
      </w:tblGrid>
      <w:tr>
        <w:trPr>
          <w:cantSplit/>
          <w:trHeight w:val="351" w:hRule="atLeast"/>
        </w:trPr>
        <w:tc>
          <w:tcPr>
            <w:tcW w:type="dxa" w:w="1160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Altro</w:t>
            </w:r>
          </w:p>
        </w:tc>
        <w:tc>
          <w:tcPr>
            <w:tcW w:type="dxa" w:w="786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Le prove scritte erano per lo più prove strutturate/ semistrutturate e non strutturate (questionari a scelta multipla, a completamento, vero/falso, a risposta aperta, esercizi e prove graduate). </w:t>
      </w:r>
      <w:r>
        <w:rPr>
          <w:rFonts w:ascii="Titillium Web" w:hAnsi="Titillium Web" w:cs="Titillium Web"/>
          <w:b w:val="0"/>
          <w:i/>
          <w:color w:val="1B1B2B"/>
          <w:sz w:val="22"/>
        </w:rPr>
        <w:t>(Eliminare le/la voci/e non utilizzate)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Valutazioni e verifiche: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tempi, procedure e strumenti comuni agli altri alunni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tempi più lunghi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strumenti compensativi o ausili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per tutte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quasi tutte le discipline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8"/>
        <w:gridCol w:w="8119"/>
      </w:tblGrid>
      <w:tr>
        <w:trPr>
          <w:cantSplit/>
          <w:trHeight w:val="351" w:hRule="atLeast"/>
        </w:trPr>
        <w:tc>
          <w:tcPr>
            <w:tcW w:type="dxa" w:w="90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QUALI:</w:t>
            </w:r>
          </w:p>
        </w:tc>
        <w:tc>
          <w:tcPr>
            <w:tcW w:type="dxa" w:w="811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Colloqui con la famiglia: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Regolari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Saltuari 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Inesistenti 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Incontri Scuola – Famiglia - AUSL svolti durante l’anno scolastico: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(</w:t>
      </w:r>
      <w:r>
        <w:rPr>
          <w:rFonts w:ascii="Titillium Web" w:hAnsi="Titillium Web" w:cs="Titillium Web"/>
          <w:b w:val="0"/>
          <w:i/>
          <w:color w:val="1B1B2B"/>
          <w:sz w:val="22"/>
        </w:rPr>
        <w:t xml:space="preserve">indicare data)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8573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857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8573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857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L’insegnante di sostegno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